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0BDBD">
      <w:pPr>
        <w:spacing/>
        <w:ind w:left="-900" w:right="3960"/>
        <w:jc w:val="center"/>
        <w:rPr>
          <w:color w:val="auto"/>
        </w:rPr>
      </w:pPr>
      <w:r>
        <w:rPr/>
        <w:t xml:space="preserve">REPUBLIKA HRVATSKA</w:t>
      </w:r>
    </w:p>
    <w:p w14:paraId="681BBB46">
      <w:pPr>
        <w:spacing/>
        <w:ind w:left="-900" w:right="3960"/>
        <w:jc w:val="center"/>
        <w:rPr/>
      </w:pPr>
      <w:r>
        <w:rPr/>
        <w:t xml:space="preserve">SPLITSKO-DALMATINSKA ŽUPANIJA</w:t>
      </w:r>
    </w:p>
    <w:p w14:paraId="0AEC4E71">
      <w:pPr>
        <w:spacing/>
        <w:ind w:left="-900" w:right="3960"/>
        <w:jc w:val="center"/>
        <w:rPr>
          <w:b/>
        </w:rPr>
      </w:pPr>
      <w:r>
        <w:rPr>
          <w:b/>
        </w:rPr>
        <w:t xml:space="preserve">OSNOVNA ŠKOLA ANTE STARČEVIĆA</w:t>
      </w:r>
    </w:p>
    <w:p w14:paraId="2689E8A5">
      <w:pPr>
        <w:spacing/>
        <w:ind w:left="-900" w:right="3960"/>
        <w:rPr/>
      </w:pPr>
    </w:p>
    <w:tbl>
      <w:tblPr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>
        <w:trPr/>
        <w:tc>
          <w:tcPr>
            <w:tcW w:type="dxa" w:w="6379"/>
            <w:tcBorders/>
            <w:hideMark/>
          </w:tcPr>
          <w:p>
            <w:pPr>
              <w:spacing w:line="254" w:lineRule="auto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 xml:space="preserve">Klasa: </w:t>
            </w:r>
            <w:r>
              <w:rPr>
                <w:rFonts w:eastAsia="Calibri"/>
                <w:noProof/>
                <w:kern w:val="2"/>
              </w:rPr>
              <w:t xml:space="preserve">011-04/26-01/1</w:t>
            </w:r>
            <w:r>
              <w:rPr>
                <w:rFonts w:eastAsia="Calibri"/>
                <w:kern w:val="2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eastAsia="Calibri"/>
                <w:noProof/>
                <w:kern w:val="2"/>
              </w:rPr>
              <w:t xml:space="preserve">2175-02-01-26-1</w:t>
            </w:r>
            <w:r>
              <w:rPr>
                <w:rFonts w:eastAsia="Calibri"/>
                <w:kern w:val="2"/>
              </w:rPr>
              <w:t xml:space="preserve">                                                                                                           Dicmo, 13. srpnja 2026. godine</w:t>
            </w:r>
          </w:p>
        </w:tc>
        <w:tc>
          <w:tcPr>
            <w:tcW w:type="dxa" w:w="2693"/>
            <w:tcBorders/>
            <w:hideMark/>
          </w:tcPr>
          <w:p>
            <w:pPr>
              <w:spacing w:after="160" w:line="254" w:lineRule="auto"/>
              <w:jc w:val="right"/>
              <w:rPr>
                <w:rFonts w:eastAsia="Calibri"/>
                <w:kern w:val="2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242BB0">
      <w:pPr>
        <w:spacing/>
        <w:ind w:left="-900" w:right="3960" w:firstLine="900"/>
        <w:rPr>
          <w:lang w:eastAsia="en-US"/>
        </w:rPr>
      </w:pPr>
    </w:p>
    <w:p w14:paraId="1BACC5D2">
      <w:pPr>
        <w:spacing w:after="160" w:line="254" w:lineRule="auto"/>
        <w:ind w:left="0" w:firstLine="0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 xml:space="preserve"> </w:t>
      </w:r>
    </w:p>
    <w:tbl>
      <w:tblPr>
        <w:tblStyle w:val="Reetkatablic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>
        <w:trPr/>
        <w:tc>
          <w:tcPr>
            <w:tcW w:type="dxa" w:w="6379"/>
            <w:tcBorders/>
          </w:tcPr>
          <w:p>
            <w:pPr>
              <w:spacing w:after="160" w:line="254" w:lineRule="auto"/>
              <w:ind w:left="0" w:firstLine="0"/>
              <w:rPr>
                <w:rFonts w:eastAsiaTheme="minorHAnsi"/>
                <w:color w:val="auto"/>
                <w:lang w:eastAsia="en-US"/>
              </w:rPr>
            </w:pPr>
            <w:bookmarkStart w:id="2" w:name="_Hlk128748807"/>
          </w:p>
        </w:tc>
        <w:tc>
          <w:tcPr>
            <w:tcW w:type="dxa" w:w="2693"/>
            <w:tcBorders/>
          </w:tcPr>
          <w:p>
            <w:pPr>
              <w:spacing w:after="160" w:line="254" w:lineRule="auto"/>
              <w:ind w:left="0" w:firstLine="0"/>
              <w:jc w:val="right"/>
              <w:rPr>
                <w:rFonts w:eastAsiaTheme="minorHAnsi"/>
                <w:color w:val="auto"/>
                <w:lang w:eastAsia="en-US"/>
              </w:rPr>
            </w:pPr>
          </w:p>
        </w:tc>
        <w:bookmarkEnd w:id="2"/>
      </w:tr>
    </w:tbl>
    <w:p w14:paraId="5B1481CE">
      <w:pPr>
        <w:spacing w:after="152"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Na temelju članka 11. Zakona o pravu na pristup informacijama (NN 25/13, 85/15, 69/22, dalje u tekstu: Zakon o pravu na pristup informacijama ili Zakon), članka 72.Statuta O</w:t>
      </w:r>
      <w:r>
        <w:rPr>
          <w:sz w:val="24"/>
          <w:szCs w:val="24"/>
        </w:rPr>
        <w:t xml:space="preserve">snovne škole Ante Starčevića</w:t>
      </w:r>
      <w:r>
        <w:rPr>
          <w:sz w:val="24"/>
          <w:szCs w:val="24"/>
        </w:rPr>
        <w:t xml:space="preserve">, 13. srpnja 2026. godine, ravnateljica O</w:t>
      </w:r>
      <w:r>
        <w:rPr>
          <w:sz w:val="24"/>
          <w:szCs w:val="24"/>
        </w:rPr>
        <w:t xml:space="preserve">snovne škole Ante Starčevića</w:t>
      </w:r>
      <w:r>
        <w:rPr>
          <w:sz w:val="24"/>
          <w:szCs w:val="24"/>
        </w:rPr>
        <w:t xml:space="preserve">  donosi sljedeću</w:t>
      </w:r>
    </w:p>
    <w:p w14:paraId="3CC4A9E8">
      <w:pPr>
        <w:spacing w:after="152" w:line="276" w:lineRule="auto"/>
        <w:ind w:left="0" w:firstLine="0"/>
        <w:rPr>
          <w:sz w:val="24"/>
          <w:szCs w:val="24"/>
        </w:rPr>
      </w:pPr>
    </w:p>
    <w:p w14:paraId="5FB6FC9A">
      <w:pPr>
        <w:spacing w:after="0"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ODLUK</w:t>
      </w:r>
      <w:r>
        <w:rPr>
          <w:b/>
          <w:sz w:val="24"/>
          <w:szCs w:val="24"/>
        </w:rPr>
        <w:t xml:space="preserve">U</w:t>
      </w:r>
    </w:p>
    <w:p w14:paraId="0A057930">
      <w:pPr>
        <w:spacing w:after="0" w:line="276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provedbi savjetovanja s javnošću o nacrtu Pravilnika </w:t>
      </w:r>
      <w:bookmarkStart w:id="3" w:name="_Hlk234406168"/>
      <w:r>
        <w:rPr>
          <w:b/>
          <w:sz w:val="24"/>
          <w:szCs w:val="24"/>
        </w:rPr>
        <w:t xml:space="preserve">o provedbi postupka  jednostavne nabave O</w:t>
      </w:r>
      <w:r>
        <w:rPr>
          <w:b/>
          <w:sz w:val="24"/>
          <w:szCs w:val="24"/>
        </w:rPr>
        <w:t xml:space="preserve">snovne škole Ante Starčevića</w:t>
      </w:r>
    </w:p>
    <w:bookmarkEnd w:id="3"/>
    <w:p w14:paraId="0F06E6BB">
      <w:pPr>
        <w:spacing w:line="276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16CE4191">
      <w:pPr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Članak 1.</w:t>
      </w:r>
    </w:p>
    <w:p w14:paraId="01B622E8">
      <w:pPr>
        <w:spacing w:after="0" w:line="276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Pokreće se postupak savjetovanja s javnošću o nacrtu Pravilnika o provedbi postupka  jednostavne nabave O</w:t>
      </w:r>
      <w:r>
        <w:rPr>
          <w:sz w:val="24"/>
          <w:szCs w:val="24"/>
        </w:rPr>
        <w:t xml:space="preserve">snovne škole Ante Starčevića</w:t>
      </w:r>
    </w:p>
    <w:p w14:paraId="4365DFD8">
      <w:pPr>
        <w:spacing w:line="276" w:lineRule="auto"/>
        <w:ind w:left="0" w:firstLine="0"/>
        <w:jc w:val="both"/>
        <w:rPr>
          <w:sz w:val="24"/>
          <w:szCs w:val="24"/>
        </w:rPr>
      </w:pPr>
    </w:p>
    <w:p w14:paraId="364938D7">
      <w:p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Nacrt Pravilnika objavit će se 13. srpnja  2026. godine na službenoj mrežnoj stranici Škole, zajedno s obrazloženjem razloga i ciljeva koji se žele postići njegovim donošenjem.</w:t>
      </w:r>
    </w:p>
    <w:p w14:paraId="321652A5">
      <w:pPr>
        <w:spacing w:line="276" w:lineRule="auto"/>
        <w:ind w:left="0" w:firstLine="0"/>
        <w:jc w:val="both"/>
        <w:rPr>
          <w:sz w:val="24"/>
          <w:szCs w:val="24"/>
        </w:rPr>
      </w:pPr>
    </w:p>
    <w:p w14:paraId="1D6D42CF">
      <w:pPr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Članak 2.</w:t>
      </w:r>
    </w:p>
    <w:p w14:paraId="03A8C1E4">
      <w:p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Savjetovanje s javnošću provodi se u razdoblju o</w:t>
      </w:r>
      <w:r>
        <w:rPr>
          <w:sz w:val="24"/>
          <w:szCs w:val="24"/>
        </w:rPr>
        <w:t xml:space="preserve">d. 13. srpnja 2026. godine do 12</w:t>
      </w:r>
      <w:r>
        <w:rPr>
          <w:sz w:val="24"/>
          <w:szCs w:val="24"/>
        </w:rPr>
        <w:t xml:space="preserve">. kolovoza 2026.g.</w:t>
      </w:r>
    </w:p>
    <w:p w14:paraId="7C22EE43">
      <w:p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Zainteresirana javnost može dostaviti svoja mišljenja, prijedloge i primjedbe najkasnije do 13. kolovoza 2026. godine:</w:t>
      </w:r>
    </w:p>
    <w:p w14:paraId="631B8782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>
        <w:rPr>
          <w:rFonts w:cs="Calibri"/>
        </w:rPr>
        <w:t xml:space="preserve">elektroničkom poštom: os-dicmo@os-astarcevica.skole.hr</w:t>
      </w:r>
    </w:p>
    <w:p w14:paraId="322A7A24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>
        <w:rPr>
          <w:rFonts w:cs="Calibri"/>
        </w:rPr>
        <w:t xml:space="preserve">poštom: Osnovna škola Ante Starčevića, Dicmo Kraj 42, 21232 Dicmo</w:t>
      </w:r>
    </w:p>
    <w:p w14:paraId="229C90D8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>
        <w:rPr>
          <w:rFonts w:cs="Calibri"/>
        </w:rPr>
        <w:t xml:space="preserve">osobno: Osnovna škola Ante Starčevića, Dicmo Kraj 42. 21232 Dicmo</w:t>
      </w:r>
    </w:p>
    <w:p w14:paraId="6B6D792C">
      <w:pPr>
        <w:spacing w:line="276" w:lineRule="auto"/>
        <w:ind w:left="1440" w:firstLine="0"/>
        <w:jc w:val="both"/>
        <w:rPr>
          <w:sz w:val="24"/>
          <w:szCs w:val="24"/>
        </w:rPr>
      </w:pPr>
    </w:p>
    <w:p w14:paraId="61CE6A7E">
      <w:pPr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Članak 3.</w:t>
      </w:r>
    </w:p>
    <w:p w14:paraId="46D857FD">
      <w:p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isteku roka iz članka 2. ove Odluke izradit će se izvješće o provedenom savjetovanju s javnošću koje će sadržavati pregled zaprimljenih prijedloga i primjedbi te očitovanja o njihovom prihvaćanju ili neprihvaćanju, uz obrazloženje.</w:t>
      </w:r>
    </w:p>
    <w:p w14:paraId="74B4542E">
      <w:p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Izvješće iz stavka 1. ovog članka objavit će se na službenoj mrežnoj stranici Škole.</w:t>
      </w:r>
    </w:p>
    <w:p w14:paraId="450E6FA8">
      <w:p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provedbi savjetovanja, nacrt Pravilnika uputit će se Školskom odboru  na donošenje.</w:t>
      </w:r>
    </w:p>
    <w:p w14:paraId="55DE5F1D">
      <w:pPr>
        <w:spacing w:line="276" w:lineRule="auto"/>
        <w:ind w:left="0" w:firstLine="0"/>
        <w:jc w:val="both"/>
        <w:rPr>
          <w:sz w:val="24"/>
          <w:szCs w:val="24"/>
        </w:rPr>
      </w:pPr>
    </w:p>
    <w:p w14:paraId="4EF3C8A1">
      <w:pPr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Obrazloženje:</w:t>
      </w:r>
    </w:p>
    <w:p w14:paraId="7964B44F">
      <w:pPr>
        <w:spacing w:before="100" w:beforeAutospacing="1" w:after="100" w:afterAutospacing="1" w:line="240" w:lineRule="auto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Ravnateljica O</w:t>
      </w:r>
      <w:r>
        <w:rPr>
          <w:sz w:val="24"/>
          <w:szCs w:val="24"/>
        </w:rPr>
        <w:t xml:space="preserve">snovne škole Ante Starčevića</w:t>
      </w:r>
      <w:r>
        <w:rPr>
          <w:sz w:val="24"/>
          <w:szCs w:val="24"/>
        </w:rPr>
        <w:t xml:space="preserve"> utvrdila je nacrt Pravilnika o provedbi postupka jednostavne nabave  O</w:t>
      </w:r>
      <w:r>
        <w:rPr>
          <w:sz w:val="24"/>
          <w:szCs w:val="24"/>
        </w:rPr>
        <w:t xml:space="preserve">snovne škole Ante Starčevića</w:t>
      </w:r>
      <w:r>
        <w:rPr>
          <w:sz w:val="24"/>
          <w:szCs w:val="24"/>
        </w:rPr>
        <w:t xml:space="preserve">,  te zaključila da je, s obzirom na njegovu  pravnu narav potrebno provesti savjetovanje s  javnošću. </w:t>
      </w:r>
      <w:r>
        <w:rPr>
          <w:color w:val="auto"/>
          <w:sz w:val="24"/>
          <w:szCs w:val="24"/>
        </w:rPr>
        <w:t xml:space="preserve">Donošenje novog Pravilnika o provedbi postupaka jednostavne nabave Osnovne škole</w:t>
      </w:r>
      <w:r>
        <w:rPr>
          <w:color w:val="auto"/>
          <w:sz w:val="24"/>
          <w:szCs w:val="24"/>
        </w:rPr>
        <w:t xml:space="preserve"> Ante Starčevića</w:t>
      </w:r>
      <w:r>
        <w:rPr>
          <w:color w:val="auto"/>
          <w:sz w:val="24"/>
          <w:szCs w:val="24"/>
        </w:rPr>
        <w:t xml:space="preserve"> predlaže se radi usklađivanja pravila, uvjeta i postupaka jednostavne nabave s izmjenama Zakona o javnoj nabavi te uspostave cjelovitog, jasnog i suvremenog normativnog okvira za provedbu nabave roba, usluga i radova čija je procijenjena vrijednost manja od vrijednosnih pragova za primjenu postupaka javne nabave. Izmjenama Zakona o javnoj nabavi značajno je izmijenjen pravni okvir jednostavne nabave te su  propisana  nova obvezna pravila koja naručitelji moraju urediti svojim općim aktima,</w:t>
      </w:r>
    </w:p>
    <w:p w14:paraId="27662327">
      <w:pPr>
        <w:spacing w:before="100" w:beforeAutospacing="1" w:after="100" w:afterAutospacing="1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Slijedom navedenoga ocijenjeno je da postoje razlozi za provedbu savjetovanja</w:t>
      </w:r>
      <w:r>
        <w:rPr>
          <w:sz w:val="24"/>
          <w:szCs w:val="24"/>
        </w:rPr>
        <w:t xml:space="preserve"> s javnošću o nacrtu Pravilnika o provedbi postupka  jednostavne nabave O</w:t>
      </w:r>
      <w:r>
        <w:rPr>
          <w:sz w:val="24"/>
          <w:szCs w:val="24"/>
        </w:rPr>
        <w:t xml:space="preserve">snovne škole Ante Starčevića</w:t>
      </w:r>
      <w:r>
        <w:rPr>
          <w:color w:val="auto"/>
          <w:sz w:val="24"/>
          <w:szCs w:val="24"/>
        </w:rPr>
        <w:t xml:space="preserve">, sukladno članku 11. Zakona o pravu na pristup informacijama.</w:t>
      </w:r>
    </w:p>
    <w:p w14:paraId="145F4ABD">
      <w:pPr>
        <w:spacing w:line="276" w:lineRule="auto"/>
        <w:ind w:left="0" w:firstLine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Ravnateljica:</w:t>
      </w:r>
    </w:p>
    <w:p w14:paraId="26C2F7A6">
      <w:pPr>
        <w:spacing w:line="276" w:lineRule="auto"/>
        <w:ind w:left="0" w:firstLine="0"/>
        <w:jc w:val="right"/>
        <w:rPr>
          <w:b/>
          <w:bCs/>
          <w:sz w:val="24"/>
          <w:szCs w:val="24"/>
        </w:rPr>
      </w:pPr>
    </w:p>
    <w:p w14:paraId="20A35D9E">
      <w:pPr>
        <w:spacing w:line="276" w:lineRule="auto"/>
        <w:ind w:left="0" w:firstLine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Dajana Maretić, prof.</w:t>
      </w:r>
    </w:p>
    <w:p w14:paraId="364B46B9">
      <w:pPr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</w:p>
    <w:p w14:paraId="00E4F643">
      <w:pPr>
        <w:spacing w:line="276" w:lineRule="auto"/>
        <w:ind w:left="0" w:firstLine="0"/>
        <w:jc w:val="center"/>
        <w:rPr>
          <w:b/>
          <w:bCs/>
          <w:sz w:val="24"/>
          <w:szCs w:val="24"/>
        </w:rPr>
      </w:pPr>
    </w:p>
    <w:p w14:paraId="6AC80DA7">
      <w:pPr>
        <w:spacing w:line="276" w:lineRule="auto"/>
        <w:ind w:left="0" w:firstLine="0"/>
        <w:jc w:val="both"/>
        <w:rPr>
          <w:b/>
          <w:bCs/>
          <w:sz w:val="24"/>
          <w:szCs w:val="24"/>
        </w:rPr>
      </w:pPr>
    </w:p>
    <w:p w14:paraId="17C0AB0B">
      <w:pPr>
        <w:spacing w:line="276" w:lineRule="auto"/>
        <w:ind w:left="0" w:firstLine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Dostaviti:</w:t>
      </w:r>
    </w:p>
    <w:p w14:paraId="556E8F40">
      <w:pPr>
        <w:numPr>
          <w:ilvl w:val="0"/>
          <w:numId w:val="1"/>
        </w:numPr>
        <w:spacing w:line="276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Objava na službenoj web stranici Škole</w:t>
      </w:r>
    </w:p>
    <w:p w14:paraId="0D7A6451">
      <w:pPr>
        <w:numPr>
          <w:ilvl w:val="0"/>
          <w:numId w:val="1"/>
        </w:numPr>
        <w:spacing w:line="276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Pismohrana, ovdje</w:t>
      </w:r>
    </w:p>
    <w:p w14:paraId="2B6737A4">
      <w:pPr>
        <w:spacing w:line="276" w:lineRule="auto"/>
        <w:ind w:left="0" w:firstLine="0"/>
        <w:jc w:val="both"/>
        <w:rPr>
          <w:sz w:val="24"/>
          <w:szCs w:val="24"/>
        </w:rPr>
      </w:pPr>
    </w:p>
    <w:p w14:paraId="31CE5B9B">
      <w:pPr>
        <w:spacing/>
        <w:rPr/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charset w:val="2"/>
    <w:family w:val="roman"/>
    <w:pitch w:val="variable"/>
    <w:sig w:usb0="00000000" w:usb1="10000000" w:usb2="00000000" w:usb3="00000000" w:csb0="80000000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alibri">
    <w:charset w:val="238"/>
    <w:family w:val="swiss"/>
    <w:pitch w:val="variable"/>
    <w:sig w:usb0="E4002EFF" w:usb1="C200247B" w:usb2="00000009" w:usb3="00000000" w:csb0="000001FF" w:csb1="00000000"/>
  </w:font>
  <w:font w:name="Segoe UI">
    <w:charset w:val="0"/>
    <w:family w:val="swiss"/>
    <w:pitch w:val="variable"/>
    <w:sig w:usb0="E4002EFF" w:usb1="C000E47F" w:usb2="00000009" w:usb3="00000000" w:csb0="000001FF" w:csb1="00000000"/>
  </w:font>
  <w:font w:name="Calibri Light">
    <w:charset w:val="238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C2402"/>
    <w:lvl w:ilvl="0">
      <w:start w:val="1"/>
      <w:numFmt w:val="bullet"/>
      <w:suff w:val="tab"/>
      <w:lvlText w:val=""/>
      <w:pPr>
        <w:tabs>
          <w:tab w:val="num" w:pos="720"/>
        </w:tabs>
        <w:spacing/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suff w:val="tab"/>
      <w:lvlText w:val=""/>
      <w:pPr>
        <w:tabs>
          <w:tab w:val="num" w:pos="2880"/>
        </w:tabs>
        <w:spacing/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suff w:val="tab"/>
      <w:lvlText w:val=""/>
      <w:pPr>
        <w:tabs>
          <w:tab w:val="num" w:pos="3600"/>
        </w:tabs>
        <w:spacing/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suff w:val="tab"/>
      <w:lvlText w:val=""/>
      <w:pPr>
        <w:tabs>
          <w:tab w:val="num" w:pos="5040"/>
        </w:tabs>
        <w:spacing/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suff w:val="tab"/>
      <w:lvlText w:val=""/>
      <w:pPr>
        <w:tabs>
          <w:tab w:val="num" w:pos="5760"/>
        </w:tabs>
        <w:spacing/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A28F3"/>
    <w:lvl w:ilvl="0">
      <w:start w:val="1"/>
      <w:numFmt w:val="bullet"/>
      <w:suff w:val="tab"/>
      <w:lvlText w:val=""/>
      <w:pPr>
        <w:tabs>
          <w:tab w:val="num" w:pos="720"/>
        </w:tabs>
        <w:spacing/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suff w:val="tab"/>
      <w:lvlText w:val=""/>
      <w:pPr>
        <w:tabs>
          <w:tab w:val="num" w:pos="2880"/>
        </w:tabs>
        <w:spacing/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suff w:val="tab"/>
      <w:lvlText w:val=""/>
      <w:pPr>
        <w:tabs>
          <w:tab w:val="num" w:pos="3600"/>
        </w:tabs>
        <w:spacing/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suff w:val="tab"/>
      <w:lvlText w:val=""/>
      <w:pPr>
        <w:tabs>
          <w:tab w:val="num" w:pos="5040"/>
        </w:tabs>
        <w:spacing/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suff w:val="tab"/>
      <w:lvlText w:val=""/>
      <w:pPr>
        <w:tabs>
          <w:tab w:val="num" w:pos="5760"/>
        </w:tabs>
        <w:spacing/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E90453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5" w:line="264" w:lineRule="auto"/>
      <w:ind w:left="10" w:hanging="10"/>
    </w:pPr>
    <w:rPr>
      <w:rFonts w:ascii="Times New Roman" w:hAnsi="Times New Roman" w:eastAsia="Times New Roman" w:cs="Times New Roman"/>
      <w:color w:val="000000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styleId="Nerijeenospominjanje1" w:customStyle="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Times New Roman" w:cs="Segoe UI"/>
      <w:color w:val="000000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pPr>
      <w:spacing w:after="200" w:line="276" w:lineRule="auto"/>
      <w:ind w:left="720" w:firstLine="0"/>
      <w:contextualSpacing/>
    </w:pPr>
    <w:rPr>
      <w:rFonts w:ascii="Calibri" w:hAnsi="Calibri" w:eastAsia="Calibri"/>
      <w:color w:val="auto"/>
      <w:lang w:eastAsia="en-US"/>
    </w:r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2</Pages>
  <Words>505</Words>
  <Characters>2879</Characters>
  <Application>Microsoft Office Word</Application>
  <DocSecurity>0</DocSecurity>
  <Lines>23</Lines>
  <Paragraphs>6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Maretic</dc:creator>
  <cp:keywords/>
  <dc:description/>
  <cp:lastModifiedBy>Ivan Maretic</cp:lastModifiedBy>
  <cp:lastPrinted>2026-07-22T14:19:00Z</cp:lastPrinted>
  <cp:revision>1</cp:revision>
  <dcterms:created xsi:type="dcterms:W3CDTF">2026-08-18T12:04:00Z</dcterms:created>
  <dcterms:modified xsi:type="dcterms:W3CDTF">2026-08-18T12:05:00Z</dcterms:modified>
</cp:coreProperties>
</file>